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520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регионального общественного движения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Региональное общественное движение, именуемое в дальнейшем Движение,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-   состоящее   из   участников   общественное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объединение,  преследующее</w:t>
      </w:r>
      <w:proofErr w:type="gramEnd"/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общественно полезные цели, поддерживаемые участниками Движения.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Движения: 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Движения: 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 Движения  на языке народов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Российской Федерации и (или) иностранном языке (указать язык):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Организационно-правовая форма Движения - общественное движение.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3. Территориальная сфера деятельности Движения: 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Движения: ____________________________________________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3(1).    Сведения    о    наличии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отсутствии)   печати   Движения: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3(2).  Сведения о наличии (отсутствии) символики Движения и ее описание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(при наличии): 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Требования  настоящего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Устава  обязательны  для  исполнения  всеми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органами Движения и его участниками.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II. Предмет и цели деятельности Движения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5. Предметом деятельности Движения является: 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Целями деятельности Движения являются: 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Для  достижения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уставных целей Движение осуществляет следующие виды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деятельности: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Виды иной приносящей доход деятельности Движения: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0A7EE6" w:rsidRPr="004678F1" w:rsidRDefault="000A7EE6" w:rsidP="000A7EE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III. Органы Движения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8. Органами Движения являются: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1) Общее собрание;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2) Правление;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3) председатель;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4) Ревизионная комиссия (ревизор).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IV. Общее собрание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9. Высшим руководящим органом Движения является Общее собрание.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10. Общее собрание собирается по мере необходимости, но не реже __________ (__________) раз(а) в ____ год(а) (лет). Общее собрание правомочно, если на нем присутствуют более половины участников Движения.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Внеочередное Общее собрание может быть созвано по мотивированному предложению Правления, председателя, Ревизионной комиссии (ревизора) либо по обращению не менее ____ участников Движения.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11. Общее собрание правомочно принимать решения по любым вопросам деятельности Движения.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К исключительной компетенции Общего собрания относится: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1) определение приоритетных направлений деятельности Движения, принципов формирования и использования его имущества;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2) утверждение и изменение Устава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3) избрание Правления и Ревизионной комиссии (ревизора) и досрочное прекращение их полномочий;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4) принятие решений о реорганизации и ликвидации Движения, о назначении ликвидационной комиссии (ликвидатора) и об утверждении ликвидационного баланса;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5) определение порядка приема в состав участников Движения и исключения из числа его участников.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Решения Общего собрания по вопросам его исключительной компетенции принимаются открытым голосованием квалифицированным большинством не менее ____ голосов общего числа участников, присутствующих на Общем собрании.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V. Правление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13. Для практического текущего руководства деятельностью Движения в период между Общими собраниями избирается Правление - постоянно действующий руководящий орган Движения.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14. Правление избирается Общим собранием сроком на __________ (____) год(а) (лет) из числа участников Движения в количественном составе, установленном Общим собранием.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15. Правление: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 xml:space="preserve">1) принимает решение об избрании председателя и досрочном прекращении его </w:t>
      </w:r>
      <w:r w:rsidRPr="004678F1">
        <w:lastRenderedPageBreak/>
        <w:t>полномочий;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2) утверждает годовой отчет и бухгалтерскую (финансовую) отчетность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3) принимает решение о создании Движением других юридических лиц, об участии Движения в других юридических лицах;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 xml:space="preserve">4) принимает решение о создании филиалов и об открытии представительств Движения, утверждении положений о филиале и </w:t>
      </w:r>
      <w:proofErr w:type="gramStart"/>
      <w:r w:rsidRPr="004678F1">
        <w:t>представительстве</w:t>
      </w:r>
      <w:proofErr w:type="gramEnd"/>
      <w:r w:rsidRPr="004678F1">
        <w:t xml:space="preserve"> и назначении их руководителей;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5) утверждает аудиторскую организацию или индивидуального аудитора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6) организует работу Движения, осуществляет контроль за выполнением решений Общего собрания;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7) рассматривает и утверждает смету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8) утверждает штатное расписание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9) осуществляет созыв Общего собрания и готовит вопросы для обсуждения на Общем собрании;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10) решает иные вопросы, не относящиеся к компетенции других органов Движения.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VI. Председатель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18. Председатель - единоличный исполнительный орган, избирается Правлением из числа участников сроком на __________ (____) год(а) (лет).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19. Председатель: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1) подотчетен Общему собранию и Правлению;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2) осуществляет текущее руководство деятельностью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3) без доверенности действует от имени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4) принимает решения и издает приказы по вопросам деятельности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5) 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в банках;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6) решает вопросы хозяйственной и финансовой деятельности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7) организует бухгалтерский учет и отчетность;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 xml:space="preserve">8) принимает на работу и увольняет работников Движения, утверждает их должностные </w:t>
      </w:r>
      <w:r w:rsidRPr="004678F1">
        <w:lastRenderedPageBreak/>
        <w:t>обязанности в соответствии со штатным расписанием, утверждаемым Правлением;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9) решает иные вопросы, не относящиеся к компетенции других органов Движения.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VII. Ревизионная комиссия (ревизор)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20. Контроль за финансово-хозяйственной деятельностью Движения осуществляет Ревизионная комиссия (ревизор), избираемая(</w:t>
      </w:r>
      <w:proofErr w:type="spellStart"/>
      <w:r w:rsidRPr="004678F1">
        <w:t>ый</w:t>
      </w:r>
      <w:proofErr w:type="spellEnd"/>
      <w:r w:rsidRPr="004678F1">
        <w:t>) Общим собранием из числа участников Движения сроком на ____ год(а) (лет)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21. Ревизионная комиссия (ревизор) осуществляет проверки финансово-хозяйственной деятельности Движения не реже __________ (_____) раз(а) в ____ год(а) (лет).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Компетенция Ревизионной комиссии (ревизора) Движения включает следующие полномочия: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1) 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участников Движения;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2) истребование у органов Движения документов о финансово-хозяйственной деятельности;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3) предложение о созыве внеочередного Общего собрания;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4) составление заключения по итогам проверки финансово-хозяйственной деятельности, в котором должны содержаться подтверждение достоверности данных, содержащихся в отчетах и иных финансовых документах Движения.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22. Ревизионная комиссия (ревизор) представляет результаты проверок Общему собранию после обсуждения их на заседании Правления.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VIII. Права Движения по управлению имуществом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От имени Движения права собственника имущества, поступающего в Движение, а также созданного и (или) приобретенного им за счет собственных средств, осуществляет Правление.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24. Филиал и (или) представительство наделяются имуществом Движения и действуют на основе Положения, утвержденного Правлением.</w:t>
      </w:r>
    </w:p>
    <w:p w:rsidR="000A7EE6" w:rsidRPr="004678F1" w:rsidRDefault="000A7EE6" w:rsidP="000A7EE6">
      <w:pPr>
        <w:pStyle w:val="ConsPlusNormal"/>
        <w:spacing w:before="240"/>
        <w:ind w:firstLine="540"/>
        <w:jc w:val="both"/>
      </w:pPr>
      <w:r w:rsidRPr="004678F1">
        <w:t>25. Имущество филиалов и представительств учитывается на отдельном балансе и на балансе Движения.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jc w:val="center"/>
        <w:outlineLvl w:val="1"/>
      </w:pPr>
      <w:r w:rsidRPr="004678F1">
        <w:t>IX. Порядок распределения имущества, оставшегося</w:t>
      </w:r>
    </w:p>
    <w:p w:rsidR="000A7EE6" w:rsidRPr="004678F1" w:rsidRDefault="000A7EE6" w:rsidP="000A7EE6">
      <w:pPr>
        <w:pStyle w:val="ConsPlusNormal"/>
        <w:jc w:val="center"/>
      </w:pPr>
      <w:r w:rsidRPr="004678F1">
        <w:t>в результате ликвидации Движения</w:t>
      </w:r>
    </w:p>
    <w:p w:rsidR="000A7EE6" w:rsidRPr="004678F1" w:rsidRDefault="000A7EE6" w:rsidP="000A7EE6">
      <w:pPr>
        <w:pStyle w:val="ConsPlusNormal"/>
        <w:jc w:val="both"/>
      </w:pPr>
    </w:p>
    <w:p w:rsidR="000A7EE6" w:rsidRPr="004678F1" w:rsidRDefault="000A7EE6" w:rsidP="000A7EE6">
      <w:pPr>
        <w:pStyle w:val="ConsPlusNormal"/>
        <w:ind w:firstLine="540"/>
        <w:jc w:val="both"/>
      </w:pPr>
      <w:r w:rsidRPr="004678F1">
        <w:t>26.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</w:t>
      </w:r>
    </w:p>
    <w:p w:rsidR="00505353" w:rsidRPr="000A7EE6" w:rsidRDefault="00505353" w:rsidP="000A7EE6">
      <w:bookmarkStart w:id="1" w:name="_GoBack"/>
      <w:bookmarkEnd w:id="1"/>
    </w:p>
    <w:sectPr w:rsidR="00505353" w:rsidRPr="000A7EE6" w:rsidSect="001537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2"/>
    <w:rsid w:val="000A7EE6"/>
    <w:rsid w:val="000D28AA"/>
    <w:rsid w:val="001537C2"/>
    <w:rsid w:val="00405300"/>
    <w:rsid w:val="00505353"/>
    <w:rsid w:val="007F667E"/>
    <w:rsid w:val="00A77562"/>
    <w:rsid w:val="00C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353D-6F4C-4AE9-A967-3551A96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2026-03-26T12:45:00Z</dcterms:created>
  <dcterms:modified xsi:type="dcterms:W3CDTF">2026-03-26T12:45:00Z</dcterms:modified>
</cp:coreProperties>
</file>