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1B" w:rsidRPr="0059408F" w:rsidRDefault="0059408F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59408F">
        <w:rPr>
          <w:rFonts w:ascii="PT Astra Serif" w:hAnsi="PT Astra Serif"/>
          <w:b/>
          <w:sz w:val="28"/>
        </w:rPr>
        <w:t xml:space="preserve">Сведения о проведении антикоррупционной экспертизы  нормативных правовых актов, их проектов и иных документов, </w:t>
      </w:r>
      <w:r w:rsidRPr="0059408F">
        <w:rPr>
          <w:rFonts w:ascii="PT Astra Serif" w:hAnsi="PT Astra Serif"/>
          <w:b/>
          <w:sz w:val="28"/>
        </w:rPr>
        <w:br/>
        <w:t>об аккредитации независимых экспертов за январь – август 2025 года</w:t>
      </w:r>
    </w:p>
    <w:p w:rsidR="0059511B" w:rsidRDefault="0059511B">
      <w:pPr>
        <w:spacing w:after="0" w:line="240" w:lineRule="auto"/>
        <w:ind w:firstLine="720"/>
        <w:jc w:val="both"/>
        <w:rPr>
          <w:rFonts w:ascii="PT Astra Serif" w:hAnsi="PT Astra Serif"/>
          <w:sz w:val="28"/>
        </w:rPr>
      </w:pP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Минюстом России рассмотрено 192 заявления об аккредитации </w:t>
      </w:r>
      <w:r>
        <w:rPr>
          <w:rFonts w:ascii="PT Astra Serif" w:hAnsi="PT Astra Serif"/>
          <w:sz w:val="27"/>
        </w:rPr>
        <w:br/>
        <w:t xml:space="preserve">в качестве независимых экспертов, за аналогичный период прошлого года (далее – АППГ – 168, +24, +14.3%), из них 184 от физических лиц </w:t>
      </w:r>
      <w:r>
        <w:rPr>
          <w:rFonts w:ascii="PT Astra Serif" w:hAnsi="PT Astra Serif"/>
          <w:sz w:val="27"/>
        </w:rPr>
        <w:br/>
        <w:t xml:space="preserve">(АППГ – 151, +33, +21.9%), 8 от юридических лиц (АППГ – 17, -9, -52.9%). </w:t>
      </w:r>
      <w:r>
        <w:br/>
      </w:r>
      <w:r>
        <w:rPr>
          <w:rFonts w:ascii="PT Astra Serif" w:hAnsi="PT Astra Serif"/>
          <w:sz w:val="27"/>
        </w:rPr>
        <w:t>В отношении 59 (АППГ – 50, +9, +18.0%) заявлений вопрос решен положительно. В аккредитации отказано 133 (69.3% от общего количества) претендентам. Аннулирована 1 (АППГ – 1) аккредитация.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структурные подразделения Минюста России поступило проектов нормативных правовых актов для проверки на наличие в них коррупциогенных факторов – 1916 (АППГ – 1705, +211, +12.4%), в том числе законопроектов - 229 (АППГ – 223, +6, +2.7%), проектов указов Президента Российской Федерации – 120 (АППГ – 97, +23, +23.7%), проектов постановлений Правительства Российской Федерации – 1567 (АППГ- 1385, +182, +13.1%), проектов поправок Правительства Российской Федерации </w:t>
      </w:r>
      <w:r>
        <w:br/>
      </w:r>
      <w:r>
        <w:rPr>
          <w:rFonts w:ascii="PT Astra Serif" w:hAnsi="PT Astra Serif"/>
          <w:sz w:val="27"/>
        </w:rPr>
        <w:t>к законопроектам – 128 (АППГ – 101, +27, +26.7%).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Из 1915 (АППГ – 1704, +211, +12.4%) рассмотренных проектов нормативных правовых актов в 8 выявлено коррупциогенных факторов – 13, в том числе в 2  законопроектах (АППГ – 2) выявлено коррупциогенных факторов – 4, в 6 проектах постановлений Правительства Российской Федерации (АППГ – 6) выявлено коррупциогенных факторов – 9. 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Минюстом России рассмотрено нормативных правовых актов федеральных органов исполнительной власти, иных государственных органов и организаций, поступивших на государственную регистрацию – 3255 </w:t>
      </w:r>
      <w:r>
        <w:rPr>
          <w:rFonts w:ascii="PT Astra Serif" w:hAnsi="PT Astra Serif"/>
          <w:sz w:val="27"/>
        </w:rPr>
        <w:br/>
        <w:t>(АППГ – 3421, -166, -4.9%) из 3246 (АППГ – 3237, +9, +0.3%) поступивших на регистрацию и оставшихся нерассмотренными на начало отчетного периода – 339, в 129 (4.0% от общего количества) выявлено наличие 177 коррупциогенных факторов (АППГ – 83, +94, +113.3%).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территориальные органы Минюста России поступило 150530 документов, подлежащих антикоррупционной экспертизе (АППГ – 155407, </w:t>
      </w:r>
      <w:r>
        <w:rPr>
          <w:rFonts w:ascii="PT Astra Serif" w:hAnsi="PT Astra Serif"/>
          <w:sz w:val="27"/>
        </w:rPr>
        <w:br/>
        <w:t xml:space="preserve">-4877, -3.1%), в том числе нормативных правовых актов субъектов Российской Федерации – 114730 (АППГ – 111348, +3382, +3.0%), проектов нормативных правовых актов субъектов Российской Федерации – 22218 (АППГ – 21998, +220, +1.0%), уставов муниципальных образований – 394 (АППГ – 1437, -1043, -72.6%), проектов уставов муниципальных образований – 190 (АППГ – 520, -330, -63.5%), муниципальных правовых актов о внесении изменений в уставы муниципальных образований – 10390 (АППГ – 15012, </w:t>
      </w:r>
      <w:r>
        <w:rPr>
          <w:rFonts w:ascii="PT Astra Serif" w:hAnsi="PT Astra Serif"/>
          <w:sz w:val="27"/>
        </w:rPr>
        <w:br/>
        <w:t>-4622, -30.8%), проектов муниципальных правовых актов о внесении изменений в уставы муниципальных образований - 2608 (АППГ – 5092, -2484, -48.8%).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lastRenderedPageBreak/>
        <w:t xml:space="preserve">Из 152043 рассмотренных документов (АППГ – 156729, -4686, -3.0%) </w:t>
      </w:r>
      <w:r>
        <w:br/>
      </w:r>
      <w:r>
        <w:rPr>
          <w:rFonts w:ascii="PT Astra Serif" w:hAnsi="PT Astra Serif"/>
          <w:sz w:val="27"/>
        </w:rPr>
        <w:t xml:space="preserve">в 1193  (0.8% от общего количества) выявлено коррупциогенных факторов </w:t>
      </w:r>
      <w:r>
        <w:rPr>
          <w:rFonts w:ascii="PT Astra Serif" w:hAnsi="PT Astra Serif"/>
          <w:sz w:val="27"/>
        </w:rPr>
        <w:br/>
        <w:t xml:space="preserve">– 2130, в том числе в 946 нормативных правовых актах субъектов Российской Федерации (АППГ- 944, +2, +0.2%) выявлено коррупциогенных факторов </w:t>
      </w:r>
      <w:r>
        <w:rPr>
          <w:rFonts w:ascii="PT Astra Serif" w:hAnsi="PT Astra Serif"/>
          <w:sz w:val="27"/>
        </w:rPr>
        <w:br/>
        <w:t xml:space="preserve">– 1721, в 214 проектах нормативных правовых актов субъектов Российской Федерации (АППГ – 218, -4, -1.8%) выявлено </w:t>
      </w:r>
      <w:bookmarkStart w:id="0" w:name="OLE_LINK1"/>
      <w:r>
        <w:rPr>
          <w:rFonts w:ascii="PT Astra Serif" w:hAnsi="PT Astra Serif"/>
          <w:sz w:val="27"/>
        </w:rPr>
        <w:t>коррупциогенных факторов</w:t>
      </w:r>
      <w:bookmarkEnd w:id="0"/>
      <w:r>
        <w:rPr>
          <w:rFonts w:ascii="PT Astra Serif" w:hAnsi="PT Astra Serif"/>
          <w:sz w:val="27"/>
        </w:rPr>
        <w:t xml:space="preserve"> </w:t>
      </w:r>
      <w:r>
        <w:rPr>
          <w:rFonts w:ascii="PT Astra Serif" w:hAnsi="PT Astra Serif"/>
          <w:sz w:val="27"/>
        </w:rPr>
        <w:br/>
        <w:t xml:space="preserve">– 368, в 2 уставах муниципальных образований (АППГ – 2) выявлено коррупциогенных факторов – 2, в 3 проектах уставов муниципальных образований (АППГ – 5, -2, -40.0%) выявлено коррупциогенных факторов – 4, в 13 муниципальных правовых актах о внесении изменений в уставы муниципальных образований (АППГ – 20, -7, -35.0%) выявлено коррупциогенных факторов – 18, в 15 проектах муниципальных правовых актов о внесении изменений в уставы муниципальных образований </w:t>
      </w:r>
      <w:r>
        <w:br/>
      </w:r>
      <w:r>
        <w:rPr>
          <w:rFonts w:ascii="PT Astra Serif" w:hAnsi="PT Astra Serif"/>
          <w:sz w:val="27"/>
        </w:rPr>
        <w:t>(АППГ – 56, -41, -73.2%) выявлено коррупциогенных факторов – 17.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Устранено 1368 выявленных коррупциогенных факторов в 781 </w:t>
      </w:r>
      <w:r>
        <w:br/>
      </w:r>
      <w:r>
        <w:rPr>
          <w:rFonts w:ascii="PT Astra Serif" w:hAnsi="PT Astra Serif"/>
          <w:sz w:val="27"/>
        </w:rPr>
        <w:t xml:space="preserve">(АППГ – 753, +28, +3.7%) документе (65.5% от общего количества документов, содержащих коррупциогенные факторы), в том числе в 603 нормативных правовых актах субъектов Российской Федерации </w:t>
      </w:r>
      <w:r>
        <w:rPr>
          <w:rFonts w:ascii="PT Astra Serif" w:hAnsi="PT Astra Serif"/>
          <w:sz w:val="27"/>
        </w:rPr>
        <w:br/>
        <w:t xml:space="preserve">(АППГ – 567, +36, +6.3%), в 161 проекте нормативных правовых актов субъектов Российской Федерации (АППГ – 137, +24, +17.5%), в 1 уставе муниципальных образований (АППГ – 0), в 2 проектах уставов муниципальных образований (АППГ – 3, -1, -33.3%), в 4 муниципальных правовых актах о внесении изменений в уставы муниципальных образований (АППГ – 7, -3, -42.9%), в 10 проектах муниципальных правовых актов </w:t>
      </w:r>
      <w:r>
        <w:br/>
      </w:r>
      <w:r>
        <w:rPr>
          <w:rFonts w:ascii="PT Astra Serif" w:hAnsi="PT Astra Serif"/>
          <w:sz w:val="27"/>
        </w:rPr>
        <w:t xml:space="preserve">о внесении изменений в уставы муниципальных образований (АППГ – 39, </w:t>
      </w:r>
      <w:r>
        <w:rPr>
          <w:rFonts w:ascii="PT Astra Serif" w:hAnsi="PT Astra Serif"/>
          <w:sz w:val="27"/>
        </w:rPr>
        <w:br/>
        <w:t xml:space="preserve">-29, -74.4%). 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информационно-коммуникационной сети Интернет в целях проведения независимой антикоррупционной экспертизы размещено проектов нормативных правовых актов, подготовленных Минюстом России </w:t>
      </w:r>
      <w:r>
        <w:rPr>
          <w:rFonts w:ascii="PT Astra Serif" w:hAnsi="PT Astra Serif"/>
          <w:sz w:val="27"/>
        </w:rPr>
        <w:br/>
        <w:t xml:space="preserve">– 114 (АППГ – 90, +24, +26.7%), в том числе законопроектов – 47 </w:t>
      </w:r>
      <w:r>
        <w:rPr>
          <w:rFonts w:ascii="PT Astra Serif" w:hAnsi="PT Astra Serif"/>
          <w:sz w:val="27"/>
        </w:rPr>
        <w:br/>
        <w:t xml:space="preserve">(АППГ – 24, +23, +95.8%), проектов указов Президента Российской Федерации – 1 (АППГ – 1), проектов постановлений Правительства Российской Федерации – 19 (АППГ – 7, +12, +171.4%) и проектов приказов Минюста России – 47 (АППГ – 58, -11, -19.0%). 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Получено заключений независимых экспертов – 6 (АППГ – 1, +5, +500.0%). </w:t>
      </w:r>
    </w:p>
    <w:p w:rsidR="0059511B" w:rsidRDefault="0059408F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Выявлено коррупциогенных факторов – 59 (АППГ – 0), устранено – 53 (АППГ – 0).</w:t>
      </w:r>
    </w:p>
    <w:p w:rsidR="0059511B" w:rsidRDefault="0059511B">
      <w:pPr>
        <w:spacing w:after="0" w:line="240" w:lineRule="auto"/>
        <w:jc w:val="right"/>
        <w:rPr>
          <w:rFonts w:ascii="PT Astra Serif" w:hAnsi="PT Astra Serif"/>
          <w:sz w:val="27"/>
        </w:rPr>
      </w:pPr>
    </w:p>
    <w:p w:rsidR="0059511B" w:rsidRDefault="0059511B">
      <w:pPr>
        <w:spacing w:after="0" w:line="240" w:lineRule="auto"/>
        <w:jc w:val="right"/>
        <w:rPr>
          <w:rFonts w:ascii="PT Astra Serif" w:hAnsi="PT Astra Serif"/>
          <w:sz w:val="27"/>
        </w:rPr>
      </w:pPr>
    </w:p>
    <w:p w:rsidR="0059511B" w:rsidRDefault="0059511B">
      <w:pPr>
        <w:rPr>
          <w:rFonts w:ascii="PT Astra Serif" w:hAnsi="PT Astra Serif"/>
          <w:sz w:val="27"/>
        </w:rPr>
      </w:pPr>
      <w:bookmarkStart w:id="1" w:name="_GoBack"/>
      <w:bookmarkEnd w:id="1"/>
    </w:p>
    <w:sectPr w:rsidR="0059511B">
      <w:headerReference w:type="default" r:id="rId6"/>
      <w:pgSz w:w="11906" w:h="16838"/>
      <w:pgMar w:top="1418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A8" w:rsidRDefault="0059408F">
      <w:pPr>
        <w:spacing w:after="0" w:line="240" w:lineRule="auto"/>
      </w:pPr>
      <w:r>
        <w:separator/>
      </w:r>
    </w:p>
  </w:endnote>
  <w:endnote w:type="continuationSeparator" w:id="0">
    <w:p w:rsidR="005E4EA8" w:rsidRDefault="0059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A8" w:rsidRDefault="0059408F">
      <w:pPr>
        <w:spacing w:after="0" w:line="240" w:lineRule="auto"/>
      </w:pPr>
      <w:r>
        <w:separator/>
      </w:r>
    </w:p>
  </w:footnote>
  <w:footnote w:type="continuationSeparator" w:id="0">
    <w:p w:rsidR="005E4EA8" w:rsidRDefault="0059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1B" w:rsidRDefault="0059408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C5DD0">
      <w:rPr>
        <w:noProof/>
      </w:rPr>
      <w:t>2</w:t>
    </w:r>
    <w:r>
      <w:fldChar w:fldCharType="end"/>
    </w:r>
  </w:p>
  <w:p w:rsidR="0059511B" w:rsidRDefault="0059511B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11B"/>
    <w:rsid w:val="0059408F"/>
    <w:rsid w:val="0059511B"/>
    <w:rsid w:val="005E4EA8"/>
    <w:rsid w:val="00D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78410-932F-41C3-A844-4AC75AFF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link w:val="a4"/>
    <w:semiHidden/>
    <w:unhideWhenUsed/>
    <w:rPr>
      <w:b/>
      <w:color w:val="0000FF"/>
    </w:rPr>
  </w:style>
  <w:style w:type="character" w:customStyle="1" w:styleId="a4">
    <w:link w:val="a3"/>
    <w:semiHidden/>
    <w:unhideWhenUsed/>
    <w:rPr>
      <w:b/>
      <w:color w:val="0000F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6">
    <w:link w:val="a7"/>
    <w:semiHidden/>
    <w:unhideWhenUsed/>
    <w:rPr>
      <w:b/>
      <w:color w:val="0000FF"/>
    </w:rPr>
  </w:style>
  <w:style w:type="character" w:customStyle="1" w:styleId="a7">
    <w:link w:val="a6"/>
    <w:semiHidden/>
    <w:unhideWhenUsed/>
    <w:rPr>
      <w:b/>
      <w:color w:val="0000FF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4262</Characters>
  <Application>Microsoft Office Word</Application>
  <DocSecurity>0</DocSecurity>
  <Lines>35</Lines>
  <Paragraphs>9</Paragraphs>
  <ScaleCrop>false</ScaleCrop>
  <Company>Минюст России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3</cp:revision>
  <dcterms:created xsi:type="dcterms:W3CDTF">2025-09-16T06:54:00Z</dcterms:created>
  <dcterms:modified xsi:type="dcterms:W3CDTF">2025-09-17T14:09:00Z</dcterms:modified>
</cp:coreProperties>
</file>