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1"/>
        <w:spacing w:after="0" w:line="240" w:lineRule="auto"/>
        <w:ind w:hanging="1" w:left="4253"/>
        <w:jc w:val="center"/>
        <w:rPr>
          <w:rFonts w:ascii="PT Astra Serif" w:hAnsi="PT Astra Serif"/>
          <w:sz w:val="28"/>
        </w:rPr>
      </w:pPr>
      <w:bookmarkStart w:id="1" w:name="_GoBack"/>
      <w:bookmarkEnd w:id="1"/>
      <w:r>
        <w:rPr>
          <w:rFonts w:ascii="PT Astra Serif" w:hAnsi="PT Astra Serif"/>
          <w:sz w:val="28"/>
        </w:rPr>
        <w:t>СОГЛАСОВАНО</w:t>
      </w:r>
    </w:p>
    <w:p w14:paraId="05000000">
      <w:pPr>
        <w:widowControl w:val="1"/>
        <w:spacing w:after="240" w:line="240" w:lineRule="auto"/>
        <w:ind w:hanging="1" w:left="4253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Министр юстиции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Российской Федерации</w:t>
      </w:r>
    </w:p>
    <w:p w14:paraId="06000000">
      <w:pPr>
        <w:widowControl w:val="1"/>
        <w:spacing w:after="120" w:line="240" w:lineRule="auto"/>
        <w:ind w:left="4253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 К.А. Чуйченко</w:t>
      </w:r>
    </w:p>
    <w:p w14:paraId="07000000">
      <w:pPr>
        <w:widowControl w:val="1"/>
        <w:spacing w:after="0" w:line="240" w:lineRule="auto"/>
        <w:ind w:left="4253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«___»_____________ 2026 г.</w:t>
      </w:r>
    </w:p>
    <w:p w14:paraId="08000000">
      <w:pPr>
        <w:widowControl w:val="1"/>
        <w:spacing w:after="0" w:line="360" w:lineRule="exact"/>
        <w:ind/>
        <w:rPr>
          <w:rFonts w:ascii="PT Astra Serif" w:hAnsi="PT Astra Serif"/>
          <w:sz w:val="28"/>
        </w:rPr>
      </w:pPr>
    </w:p>
    <w:p w14:paraId="09000000">
      <w:pPr>
        <w:widowControl w:val="1"/>
        <w:spacing w:after="0" w:line="360" w:lineRule="exact"/>
        <w:ind/>
        <w:rPr>
          <w:rFonts w:ascii="PT Astra Serif" w:hAnsi="PT Astra Serif"/>
          <w:sz w:val="28"/>
        </w:rPr>
      </w:pPr>
    </w:p>
    <w:p w14:paraId="0A000000">
      <w:pPr>
        <w:widowControl w:val="1"/>
        <w:tabs>
          <w:tab w:leader="none" w:pos="4253" w:val="left"/>
          <w:tab w:leader="none" w:pos="5670" w:val="left"/>
        </w:tabs>
        <w:spacing w:after="0" w:line="240" w:lineRule="auto"/>
        <w:ind w:left="4253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УТВЕРЖДЕН</w:t>
      </w:r>
    </w:p>
    <w:p w14:paraId="0B000000">
      <w:pPr>
        <w:widowControl w:val="1"/>
        <w:tabs>
          <w:tab w:leader="none" w:pos="4253" w:val="left"/>
          <w:tab w:leader="none" w:pos="5670" w:val="left"/>
        </w:tabs>
        <w:spacing w:after="0" w:line="240" w:lineRule="auto"/>
        <w:ind w:left="4253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Коллегиальным органом, осуществляющим оценку</w:t>
      </w:r>
    </w:p>
    <w:p w14:paraId="0C000000">
      <w:pPr>
        <w:widowControl w:val="1"/>
        <w:tabs>
          <w:tab w:leader="none" w:pos="4253" w:val="left"/>
          <w:tab w:leader="none" w:pos="5670" w:val="left"/>
        </w:tabs>
        <w:spacing w:after="0" w:line="240" w:lineRule="auto"/>
        <w:ind w:left="4253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эффективности организации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 функционирования антимонопольного </w:t>
      </w:r>
      <w:r>
        <w:rPr>
          <w:rFonts w:ascii="PT Astra Serif" w:hAnsi="PT Astra Serif"/>
          <w:sz w:val="28"/>
        </w:rPr>
        <w:t>комплаенса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Министерстве </w:t>
      </w:r>
      <w:r>
        <w:rPr>
          <w:rFonts w:ascii="PT Astra Serif" w:hAnsi="PT Astra Serif"/>
          <w:sz w:val="28"/>
        </w:rPr>
        <w:t xml:space="preserve">юстиции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Российской Федерации</w:t>
      </w:r>
    </w:p>
    <w:p w14:paraId="0D000000">
      <w:pPr>
        <w:widowControl w:val="1"/>
        <w:tabs>
          <w:tab w:leader="none" w:pos="4253" w:val="left"/>
          <w:tab w:leader="none" w:pos="5670" w:val="left"/>
        </w:tabs>
        <w:spacing w:after="0" w:line="240" w:lineRule="auto"/>
        <w:ind w:left="4253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(протокол № ___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«___»_____________ 2026 г.)</w:t>
      </w:r>
    </w:p>
    <w:p w14:paraId="0E000000">
      <w:pPr>
        <w:widowControl w:val="1"/>
        <w:tabs>
          <w:tab w:leader="none" w:pos="4253" w:val="left"/>
          <w:tab w:leader="none" w:pos="5670" w:val="left"/>
        </w:tabs>
        <w:spacing w:after="0" w:line="240" w:lineRule="auto"/>
        <w:ind w:left="4253"/>
        <w:rPr>
          <w:rFonts w:ascii="PT Astra Serif" w:hAnsi="PT Astra Serif"/>
          <w:sz w:val="28"/>
        </w:rPr>
      </w:pPr>
    </w:p>
    <w:p w14:paraId="0F000000">
      <w:pPr>
        <w:widowControl w:val="1"/>
        <w:tabs>
          <w:tab w:leader="none" w:pos="4253" w:val="left"/>
          <w:tab w:leader="none" w:pos="4678" w:val="left"/>
          <w:tab w:leader="none" w:pos="5529" w:val="left"/>
        </w:tabs>
        <w:spacing w:after="0" w:line="240" w:lineRule="auto"/>
        <w:ind w:left="4253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_______________А.А. Строганов</w:t>
      </w:r>
    </w:p>
    <w:p w14:paraId="10000000">
      <w:pPr>
        <w:widowControl w:val="1"/>
        <w:spacing w:after="0" w:line="240" w:lineRule="auto"/>
        <w:ind/>
        <w:rPr>
          <w:rFonts w:ascii="PT Astra Serif" w:hAnsi="PT Astra Serif"/>
          <w:sz w:val="28"/>
        </w:rPr>
      </w:pPr>
    </w:p>
    <w:p w14:paraId="11000000">
      <w:pPr>
        <w:widowControl w:val="1"/>
        <w:spacing w:after="0" w:line="360" w:lineRule="exact"/>
        <w:ind/>
        <w:rPr>
          <w:rFonts w:ascii="PT Astra Serif" w:hAnsi="PT Astra Serif"/>
          <w:sz w:val="28"/>
        </w:rPr>
      </w:pPr>
    </w:p>
    <w:p w14:paraId="12000000">
      <w:pPr>
        <w:widowControl w:val="1"/>
        <w:spacing w:after="0" w:line="240" w:lineRule="auto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 О К Л А Д</w:t>
      </w:r>
    </w:p>
    <w:p w14:paraId="13000000">
      <w:pPr>
        <w:widowControl w:val="1"/>
        <w:spacing w:after="0" w:line="240" w:lineRule="auto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об организации и функционировании в Министерстве юстиции Российской Федерации </w:t>
      </w:r>
      <w:r>
        <w:rPr>
          <w:rFonts w:ascii="PT Astra Serif" w:hAnsi="PT Astra Serif"/>
          <w:sz w:val="28"/>
        </w:rPr>
        <w:t xml:space="preserve">и его территориальных органах системы внутреннего обеспечения соответствия требованиям антимонопольного законодательства Российской Федерации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(антимонопольного </w:t>
      </w:r>
      <w:r>
        <w:rPr>
          <w:rFonts w:ascii="PT Astra Serif" w:hAnsi="PT Astra Serif"/>
          <w:sz w:val="28"/>
        </w:rPr>
        <w:t>комплаенса</w:t>
      </w:r>
      <w:r>
        <w:rPr>
          <w:rFonts w:ascii="PT Astra Serif" w:hAnsi="PT Astra Serif"/>
          <w:sz w:val="28"/>
        </w:rPr>
        <w:t>)</w:t>
      </w:r>
    </w:p>
    <w:p w14:paraId="14000000">
      <w:pPr>
        <w:widowControl w:val="1"/>
        <w:spacing w:after="0" w:line="360" w:lineRule="exact"/>
        <w:ind/>
        <w:rPr>
          <w:rFonts w:ascii="PT Astra Serif" w:hAnsi="PT Astra Serif"/>
          <w:sz w:val="28"/>
        </w:rPr>
      </w:pPr>
    </w:p>
    <w:p w14:paraId="15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целях исполнения Положения об организации в Минюсте России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его территориальны</w:t>
      </w:r>
      <w:r>
        <w:rPr>
          <w:rFonts w:ascii="PT Astra Serif" w:hAnsi="PT Astra Serif"/>
          <w:sz w:val="28"/>
        </w:rPr>
        <w:t xml:space="preserve">х органах системы внутреннего обеспечения соответствия требованиям антимонопольного законодательства Российской Федерации (антимонопольного </w:t>
      </w:r>
      <w:r>
        <w:rPr>
          <w:rFonts w:ascii="PT Astra Serif" w:hAnsi="PT Astra Serif"/>
          <w:sz w:val="28"/>
        </w:rPr>
        <w:t>комплаенса</w:t>
      </w:r>
      <w:r>
        <w:rPr>
          <w:rFonts w:ascii="PT Astra Serif" w:hAnsi="PT Astra Serif"/>
          <w:sz w:val="28"/>
        </w:rPr>
        <w:t xml:space="preserve">), утвержденного приказом Минюста России от 05.07.2019 № 130, с изменениями,  внесенными приказом Минюста </w:t>
      </w:r>
      <w:r>
        <w:rPr>
          <w:rFonts w:ascii="PT Astra Serif" w:hAnsi="PT Astra Serif"/>
          <w:sz w:val="28"/>
        </w:rPr>
        <w:t>России от 28.10.2024 № 323, Департаментом управления делами в 2025 году реализованы следующие мероприятия:</w:t>
      </w:r>
    </w:p>
    <w:p w14:paraId="16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составлен перечень нарушений антимонопольного законодательства в Минюсте России и его территориальных органах с указанием нарушенных норм антимонопол</w:t>
      </w:r>
      <w:r>
        <w:rPr>
          <w:rFonts w:ascii="PT Astra Serif" w:hAnsi="PT Astra Serif"/>
          <w:sz w:val="28"/>
        </w:rPr>
        <w:t>ьного законодательства, с кратким изложением содержания нарушений, ук азанием последствий допущенных нарушений и данных об их рассмотрении антимонопольным органом, позиции антимонопольного органа, сведений о мерах по устранению нарушений, а также о мерах, н</w:t>
      </w:r>
      <w:r>
        <w:rPr>
          <w:rFonts w:ascii="PT Astra Serif" w:hAnsi="PT Astra Serif"/>
          <w:sz w:val="28"/>
        </w:rPr>
        <w:t xml:space="preserve">аправленных на недопущение нарушений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будущем;</w:t>
      </w:r>
    </w:p>
    <w:p w14:paraId="17000000">
      <w:pPr>
        <w:pStyle w:val="Style_3"/>
        <w:widowControl w:val="1"/>
        <w:spacing w:after="0" w:line="360" w:lineRule="exact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проведен анализ выявленных нарушений антимонопольного законодательства в деятельности Минюста России и его территориальных </w:t>
      </w:r>
      <w:r>
        <w:rPr>
          <w:rFonts w:ascii="PT Astra Serif" w:hAnsi="PT Astra Serif"/>
          <w:sz w:val="28"/>
        </w:rPr>
        <w:t>органах</w:t>
      </w:r>
      <w:r>
        <w:rPr>
          <w:rFonts w:ascii="PT Astra Serif" w:hAnsi="PT Astra Serif"/>
          <w:sz w:val="28"/>
        </w:rPr>
        <w:t xml:space="preserve"> за 2025 год, а также за 2023 – 2024 годы (наличие предостережений, предупреж</w:t>
      </w:r>
      <w:r>
        <w:rPr>
          <w:rFonts w:ascii="PT Astra Serif" w:hAnsi="PT Astra Serif"/>
          <w:sz w:val="28"/>
        </w:rPr>
        <w:t>дений, предписаний, штрафов), составлена аналитическая справка о выявленных нарушениях;</w:t>
      </w:r>
    </w:p>
    <w:p w14:paraId="18000000">
      <w:pPr>
        <w:pStyle w:val="Style_3"/>
        <w:widowControl w:val="1"/>
        <w:spacing w:after="0" w:line="360" w:lineRule="exact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составлена карта </w:t>
      </w:r>
      <w:r>
        <w:rPr>
          <w:rFonts w:ascii="PT Astra Serif" w:hAnsi="PT Astra Serif"/>
          <w:sz w:val="28"/>
        </w:rPr>
        <w:t>комплаенс</w:t>
      </w:r>
      <w:r>
        <w:rPr>
          <w:rFonts w:ascii="PT Astra Serif" w:hAnsi="PT Astra Serif"/>
          <w:sz w:val="28"/>
        </w:rPr>
        <w:t xml:space="preserve">-рисков Минюста России, включающая описание рисков, причины и условия их возникновения, меры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по минимизации и устранению.</w:t>
      </w:r>
    </w:p>
    <w:p w14:paraId="19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целях минимизации</w:t>
      </w:r>
      <w:r>
        <w:rPr>
          <w:rFonts w:ascii="PT Astra Serif" w:hAnsi="PT Astra Serif"/>
          <w:sz w:val="28"/>
        </w:rPr>
        <w:t xml:space="preserve"> и устранения </w:t>
      </w:r>
      <w:r>
        <w:rPr>
          <w:rFonts w:ascii="PT Astra Serif" w:hAnsi="PT Astra Serif"/>
          <w:sz w:val="28"/>
        </w:rPr>
        <w:t>комплаенс</w:t>
      </w:r>
      <w:r>
        <w:rPr>
          <w:rFonts w:ascii="PT Astra Serif" w:hAnsi="PT Astra Serif"/>
          <w:sz w:val="28"/>
        </w:rPr>
        <w:t xml:space="preserve">-рисков </w:t>
      </w:r>
      <w:r>
        <w:rPr>
          <w:rFonts w:ascii="PT Astra Serif" w:hAnsi="PT Astra Serif"/>
          <w:sz w:val="28"/>
        </w:rPr>
        <w:t xml:space="preserve">разработан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утвержден</w:t>
      </w:r>
      <w:r>
        <w:rPr>
          <w:rFonts w:ascii="PT Astra Serif" w:hAnsi="PT Astra Serif"/>
          <w:sz w:val="28"/>
        </w:rPr>
        <w:t xml:space="preserve"> план мероприятий («дорожная карта») по снижению </w:t>
      </w:r>
      <w:r>
        <w:rPr>
          <w:rFonts w:ascii="PT Astra Serif" w:hAnsi="PT Astra Serif"/>
          <w:sz w:val="28"/>
        </w:rPr>
        <w:t>комплаенс</w:t>
      </w:r>
      <w:r>
        <w:rPr>
          <w:rFonts w:ascii="PT Astra Serif" w:hAnsi="PT Astra Serif"/>
          <w:sz w:val="28"/>
        </w:rPr>
        <w:t>-рисков в Минюсте России и его территориальных органах.</w:t>
      </w:r>
    </w:p>
    <w:p w14:paraId="1A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 указанным планом мероприятий на постоянной основе осуществляется анализ</w:t>
      </w:r>
      <w:r>
        <w:rPr>
          <w:rFonts w:ascii="PT Astra Serif" w:hAnsi="PT Astra Serif"/>
          <w:sz w:val="28"/>
        </w:rPr>
        <w:t xml:space="preserve"> изменений положений антимонопольного законодательства, практики его применения.</w:t>
      </w:r>
    </w:p>
    <w:p w14:paraId="1B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4"/>
          <w:sz w:val="28"/>
        </w:rPr>
        <w:t xml:space="preserve">Департаментом управления делами 18 марта </w:t>
      </w:r>
      <w:r>
        <w:rPr>
          <w:rFonts w:ascii="PT Astra Serif" w:hAnsi="PT Astra Serif"/>
          <w:spacing w:val="-4"/>
          <w:sz w:val="28"/>
        </w:rPr>
        <w:t xml:space="preserve"> 2026 г. совместно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с начальником Управления по взаимодействию с территориальными органами и координации проектов по развитию конку</w:t>
      </w:r>
      <w:r>
        <w:rPr>
          <w:rFonts w:ascii="PT Astra Serif" w:hAnsi="PT Astra Serif"/>
          <w:sz w:val="28"/>
        </w:rPr>
        <w:t xml:space="preserve">ренции ФАС России О.Н. Кузнецовой было проведено рабочее совещание. В ходе совещания обсуждены результаты правоприменительной практики в Минюсте России, рассмотрен перечень нарушений антимонопольного законодательства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Минюсте России и его территориальных</w:t>
      </w:r>
      <w:r>
        <w:rPr>
          <w:rFonts w:ascii="PT Astra Serif" w:hAnsi="PT Astra Serif"/>
          <w:sz w:val="28"/>
        </w:rPr>
        <w:t xml:space="preserve"> органах за период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2023 – 2025 годов, а также карта </w:t>
      </w:r>
      <w:r>
        <w:rPr>
          <w:rFonts w:ascii="PT Astra Serif" w:hAnsi="PT Astra Serif"/>
          <w:sz w:val="28"/>
        </w:rPr>
        <w:t>комплаенс</w:t>
      </w:r>
      <w:r>
        <w:rPr>
          <w:rFonts w:ascii="PT Astra Serif" w:hAnsi="PT Astra Serif"/>
          <w:sz w:val="28"/>
        </w:rPr>
        <w:t xml:space="preserve">-рисков Минюста России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план мероприятий («дорожная карта») по их снижению.</w:t>
      </w:r>
    </w:p>
    <w:p w14:paraId="1C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целях минимизации и устранения </w:t>
      </w:r>
      <w:r>
        <w:rPr>
          <w:rFonts w:ascii="PT Astra Serif" w:hAnsi="PT Astra Serif"/>
          <w:sz w:val="28"/>
        </w:rPr>
        <w:t>комплаенс</w:t>
      </w:r>
      <w:r>
        <w:rPr>
          <w:rFonts w:ascii="PT Astra Serif" w:hAnsi="PT Astra Serif"/>
          <w:sz w:val="28"/>
        </w:rPr>
        <w:t xml:space="preserve">-рисков, связанных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с нарушением антимонопольных требований к торгам, в 20</w:t>
      </w:r>
      <w:r>
        <w:rPr>
          <w:rFonts w:ascii="PT Astra Serif" w:hAnsi="PT Astra Serif"/>
          <w:sz w:val="28"/>
        </w:rPr>
        <w:t xml:space="preserve">25 году дополнительное профессиональное образование в сфере закупок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по программе повышения квалификации получили 135 государственных гражданских служащих Минюста России, из них 14 – сотрудники центрального аппарата Минюста России, 121 – сотрудники террито</w:t>
      </w:r>
      <w:r>
        <w:rPr>
          <w:rFonts w:ascii="PT Astra Serif" w:hAnsi="PT Astra Serif"/>
          <w:sz w:val="28"/>
        </w:rPr>
        <w:t>риальных органов Минюста России.</w:t>
      </w:r>
    </w:p>
    <w:p w14:paraId="1D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 постоянной основе проводится анализ изменений положений законодательства в сфере закупок, практики его применения. По мере необходимости в отчетном 2025 году проводились совещания по вопросам соблюдения антимонопольных т</w:t>
      </w:r>
      <w:r>
        <w:rPr>
          <w:rFonts w:ascii="PT Astra Serif" w:hAnsi="PT Astra Serif"/>
          <w:sz w:val="28"/>
        </w:rPr>
        <w:t xml:space="preserve">ребований к торгам. </w:t>
      </w:r>
    </w:p>
    <w:p w14:paraId="1E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Закупки товаров, работ, услуг для нужд Минюста России преимущественно осуществлялись конкурентными способами определения поставщиков (подрядчиков, исполнителей).</w:t>
      </w:r>
    </w:p>
    <w:p w14:paraId="1F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Ключевыми показателями эффективности функционирования антимонопольного </w:t>
      </w:r>
      <w:r>
        <w:rPr>
          <w:rFonts w:ascii="PT Astra Serif" w:hAnsi="PT Astra Serif"/>
          <w:sz w:val="28"/>
        </w:rPr>
        <w:t>ко</w:t>
      </w:r>
      <w:r>
        <w:rPr>
          <w:rFonts w:ascii="PT Astra Serif" w:hAnsi="PT Astra Serif"/>
          <w:sz w:val="28"/>
        </w:rPr>
        <w:t>мплаенса</w:t>
      </w:r>
      <w:r>
        <w:rPr>
          <w:rFonts w:ascii="PT Astra Serif" w:hAnsi="PT Astra Serif"/>
          <w:sz w:val="28"/>
        </w:rPr>
        <w:t xml:space="preserve"> в Минюсте России являются:</w:t>
      </w:r>
    </w:p>
    <w:p w14:paraId="20000000">
      <w:pPr>
        <w:widowControl w:val="1"/>
        <w:spacing w:after="0" w:line="360" w:lineRule="exact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 коэффициент снижения количества нарушений антимонопольного законодательства со стороны федерального органа исполнительной власти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за последние три года составил 1,2;</w:t>
      </w:r>
    </w:p>
    <w:p w14:paraId="21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2) коэффициент </w:t>
      </w:r>
      <w:r>
        <w:rPr>
          <w:rFonts w:ascii="PT Astra Serif" w:hAnsi="PT Astra Serif"/>
          <w:sz w:val="28"/>
        </w:rPr>
        <w:t>эффективности выявления рисков наруш</w:t>
      </w:r>
      <w:r>
        <w:rPr>
          <w:rFonts w:ascii="PT Astra Serif" w:hAnsi="PT Astra Serif"/>
          <w:sz w:val="28"/>
        </w:rPr>
        <w:t>ения антимонопольного законодательства</w:t>
      </w:r>
      <w:r>
        <w:rPr>
          <w:rFonts w:ascii="PT Astra Serif" w:hAnsi="PT Astra Serif"/>
          <w:sz w:val="28"/>
        </w:rPr>
        <w:t xml:space="preserve"> в проектах нормативных правовых актов федерального органа исполнительной власти составил 1;</w:t>
      </w:r>
    </w:p>
    <w:p w14:paraId="22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3) коэффициент эффективности выявления нарушений антимонопольного законодательства в нормативных правовых актах федерального </w:t>
      </w:r>
      <w:r>
        <w:rPr>
          <w:rFonts w:ascii="PT Astra Serif" w:hAnsi="PT Astra Serif"/>
          <w:sz w:val="28"/>
        </w:rPr>
        <w:t xml:space="preserve">органа исполнительной власти составил 1. </w:t>
      </w:r>
    </w:p>
    <w:p w14:paraId="23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Проведенные мероприятия по анализу выявленных нарушений антимонопольного законодательства и оценке рисков нарушения антимонопольного законодательства свидетельствуют: об отсутствии нарушений антимонопольного законо</w:t>
      </w:r>
      <w:r>
        <w:rPr>
          <w:rFonts w:ascii="PT Astra Serif" w:hAnsi="PT Astra Serif"/>
          <w:sz w:val="28"/>
        </w:rPr>
        <w:t xml:space="preserve">дательства; об эффективном функционировании в Минюсте России в 2025 году системы внутреннего обеспечения соответствия требованиям антимонопольного законодательства (антимонопольного </w:t>
      </w:r>
      <w:r>
        <w:rPr>
          <w:rFonts w:ascii="PT Astra Serif" w:hAnsi="PT Astra Serif"/>
          <w:sz w:val="28"/>
        </w:rPr>
        <w:t>комплаенса</w:t>
      </w:r>
      <w:r>
        <w:rPr>
          <w:rFonts w:ascii="PT Astra Serif" w:hAnsi="PT Astra Serif"/>
          <w:sz w:val="28"/>
        </w:rPr>
        <w:t>).</w:t>
      </w:r>
    </w:p>
    <w:p w14:paraId="24000000">
      <w:pPr>
        <w:widowControl w:val="1"/>
        <w:spacing w:after="0" w:line="360" w:lineRule="exact"/>
        <w:ind/>
        <w:rPr>
          <w:rFonts w:ascii="PT Astra Serif" w:hAnsi="PT Astra Serif"/>
          <w:sz w:val="28"/>
        </w:rPr>
      </w:pPr>
    </w:p>
    <w:p w14:paraId="25000000">
      <w:pPr>
        <w:widowControl w:val="1"/>
        <w:spacing w:after="0" w:line="360" w:lineRule="exact"/>
        <w:ind/>
        <w:rPr>
          <w:rFonts w:ascii="PT Astra Serif" w:hAnsi="PT Astra Serif"/>
          <w:sz w:val="28"/>
        </w:rPr>
      </w:pPr>
    </w:p>
    <w:p w14:paraId="26000000">
      <w:pPr>
        <w:widowControl w:val="1"/>
        <w:spacing w:after="0" w:line="240" w:lineRule="auto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Заместитель Министра юстиции</w:t>
      </w:r>
    </w:p>
    <w:p w14:paraId="27000000">
      <w:pPr>
        <w:widowControl w:val="1"/>
        <w:spacing w:after="0" w:line="240" w:lineRule="auto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Российской Федерации          </w:t>
      </w:r>
      <w:r>
        <w:rPr>
          <w:rFonts w:ascii="PT Astra Serif" w:hAnsi="PT Astra Serif"/>
          <w:sz w:val="28"/>
        </w:rPr>
        <w:t xml:space="preserve">                                                        А.Д. </w:t>
      </w:r>
      <w:r>
        <w:rPr>
          <w:rFonts w:ascii="PT Astra Serif" w:hAnsi="PT Astra Serif"/>
          <w:sz w:val="28"/>
        </w:rPr>
        <w:t>Алханов</w:t>
      </w:r>
    </w:p>
    <w:p w14:paraId="28000000">
      <w:pPr>
        <w:widowControl w:val="1"/>
        <w:spacing w:after="0" w:line="240" w:lineRule="auto"/>
        <w:ind/>
        <w:rPr>
          <w:rFonts w:ascii="PT Astra Serif" w:hAnsi="PT Astra Serif"/>
          <w:sz w:val="28"/>
        </w:rPr>
      </w:pPr>
    </w:p>
    <w:p w14:paraId="29000000">
      <w:pPr>
        <w:widowControl w:val="1"/>
        <w:spacing w:after="0" w:line="360" w:lineRule="exact"/>
        <w:ind/>
        <w:rPr>
          <w:rFonts w:ascii="PT Astra Serif" w:hAnsi="PT Astra Serif"/>
          <w:sz w:val="20"/>
        </w:rPr>
      </w:pPr>
    </w:p>
    <w:p w14:paraId="2A000000">
      <w:pPr>
        <w:widowControl w:val="1"/>
        <w:spacing w:after="0" w:line="360" w:lineRule="exact"/>
        <w:ind/>
        <w:rPr>
          <w:rFonts w:ascii="PT Astra Serif" w:hAnsi="PT Astra Serif"/>
          <w:sz w:val="20"/>
        </w:rPr>
      </w:pPr>
    </w:p>
    <w:p w14:paraId="2B000000">
      <w:pPr>
        <w:widowControl w:val="1"/>
        <w:spacing w:after="0" w:line="360" w:lineRule="exact"/>
        <w:ind/>
        <w:rPr>
          <w:rFonts w:ascii="PT Astra Serif" w:hAnsi="PT Astra Serif"/>
          <w:sz w:val="20"/>
        </w:rPr>
      </w:pPr>
    </w:p>
    <w:p w14:paraId="2C000000">
      <w:pPr>
        <w:widowControl w:val="1"/>
        <w:spacing w:after="0" w:line="360" w:lineRule="exact"/>
        <w:ind/>
        <w:rPr>
          <w:rFonts w:ascii="PT Astra Serif" w:hAnsi="PT Astra Serif"/>
          <w:sz w:val="20"/>
        </w:rPr>
      </w:pPr>
    </w:p>
    <w:p w14:paraId="2D000000">
      <w:pPr>
        <w:widowControl w:val="1"/>
        <w:spacing w:after="0" w:line="360" w:lineRule="exact"/>
        <w:ind/>
        <w:rPr>
          <w:rFonts w:ascii="PT Astra Serif" w:hAnsi="PT Astra Serif"/>
          <w:sz w:val="20"/>
        </w:rPr>
      </w:pPr>
    </w:p>
    <w:p w14:paraId="2E000000">
      <w:pPr>
        <w:widowControl w:val="1"/>
        <w:spacing w:after="0" w:line="360" w:lineRule="exact"/>
        <w:ind/>
        <w:rPr>
          <w:rFonts w:ascii="PT Astra Serif" w:hAnsi="PT Astra Serif"/>
          <w:sz w:val="20"/>
        </w:rPr>
      </w:pPr>
    </w:p>
    <w:p w14:paraId="2F000000">
      <w:pPr>
        <w:widowControl w:val="1"/>
        <w:spacing w:after="0" w:line="360" w:lineRule="exact"/>
        <w:ind/>
        <w:rPr>
          <w:rFonts w:ascii="PT Astra Serif" w:hAnsi="PT Astra Serif"/>
          <w:sz w:val="20"/>
        </w:rPr>
      </w:pPr>
    </w:p>
    <w:p w14:paraId="30000000">
      <w:pPr>
        <w:widowControl w:val="1"/>
        <w:spacing w:after="0" w:line="360" w:lineRule="exact"/>
        <w:ind/>
        <w:rPr>
          <w:rFonts w:ascii="PT Astra Serif" w:hAnsi="PT Astra Serif"/>
          <w:sz w:val="20"/>
        </w:rPr>
      </w:pPr>
    </w:p>
    <w:p w14:paraId="31000000">
      <w:pPr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89" w:val="left"/>
        </w:tabs>
        <w:spacing w:after="0" w:line="240" w:lineRule="auto"/>
        <w:ind/>
        <w:contextualSpacing w:val="1"/>
        <w:rPr>
          <w:rFonts w:ascii="PT Astra Serif" w:hAnsi="PT Astra Serif"/>
          <w:sz w:val="20"/>
        </w:rPr>
      </w:pPr>
    </w:p>
    <w:p w14:paraId="32000000">
      <w:pPr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  <w:tab w:leader="none" w:pos="10620" w:val="left"/>
          <w:tab w:leader="none" w:pos="11328" w:val="left"/>
          <w:tab w:leader="none" w:pos="12089" w:val="left"/>
        </w:tabs>
        <w:spacing w:after="0" w:line="240" w:lineRule="auto"/>
        <w:ind/>
        <w:contextualSpacing w:val="1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Лапченкова</w:t>
      </w:r>
      <w:r>
        <w:rPr>
          <w:rFonts w:ascii="PT Astra Serif" w:hAnsi="PT Astra Serif"/>
          <w:sz w:val="20"/>
        </w:rPr>
        <w:t xml:space="preserve"> Ольга Александровна</w:t>
      </w:r>
    </w:p>
    <w:p w14:paraId="33000000">
      <w:pPr>
        <w:widowControl w:val="1"/>
        <w:spacing w:after="0" w:line="240" w:lineRule="auto"/>
        <w:ind/>
        <w:contextualSpacing w:val="1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(800) 303-30-03 доб. 1352</w:t>
      </w:r>
    </w:p>
    <w:sectPr>
      <w:headerReference r:id="rId1" w:type="default"/>
      <w:pgSz w:h="16838" w:orient="portrait" w:w="11906"/>
      <w:pgMar w:bottom="1701" w:footer="709" w:gutter="0" w:header="709" w:left="1418" w:right="1418" w:top="141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rPr>
                              <w:rFonts w:ascii="PT Astra Serif" w:hAnsi="PT Astra Serif"/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rFonts w:ascii="PT Astra Serif" w:hAnsi="PT Astra Serif"/>
                              <w:color w:val="000000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PT Astra Serif" w:hAnsi="PT Astra Serif"/>
                              <w:color w:val="000000"/>
                              <w:spacing w:val="0"/>
                              <w:sz w:val="28"/>
                            </w:rPr>
                            <w:instrText xml:space="preserve">PAGE </w:instrText>
                          </w:r>
                          <w:r>
                            <w:rPr>
                              <w:rFonts w:ascii="PT Astra Serif" w:hAnsi="PT Astra Serif"/>
                              <w:color w:val="000000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PT Astra Serif" w:hAnsi="PT Astra Serif"/>
                              <w:color w:val="000000"/>
                              <w:spacing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PT Astra Serif" w:hAnsi="PT Astra Serif"/>
                              <w:color w:val="000000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4" w:type="paragraph">
    <w:name w:val="toc 2"/>
    <w:next w:val="Style_2"/>
    <w:link w:val="Style_4_ch"/>
    <w:uiPriority w:val="39"/>
    <w:pPr>
      <w:widowControl w:val="1"/>
      <w:ind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widowControl w:val="1"/>
      <w:ind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1"/>
      <w:ind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8" w:type="paragraph">
    <w:name w:val="Гиперссылка1"/>
    <w:link w:val="Style_8_ch"/>
    <w:rPr>
      <w:color w:val="0000FF"/>
      <w:u w:val="single"/>
    </w:rPr>
  </w:style>
  <w:style w:styleId="Style_8_ch" w:type="character">
    <w:name w:val="Гиперссылка1"/>
    <w:link w:val="Style_8"/>
    <w:rPr>
      <w:color w:val="0000FF"/>
      <w:u w:val="single"/>
    </w:rPr>
  </w:style>
  <w:style w:styleId="Style_9" w:type="paragraph">
    <w:name w:val="Endnote"/>
    <w:link w:val="Style_9_ch"/>
    <w:pPr>
      <w:widowControl w:val="1"/>
      <w:ind w:firstLine="851"/>
      <w:jc w:val="both"/>
    </w:pPr>
    <w:rPr>
      <w:rFonts w:ascii="XO Thames" w:hAnsi="XO Thames"/>
    </w:rPr>
  </w:style>
  <w:style w:styleId="Style_9_ch" w:type="character">
    <w:name w:val="Endnote"/>
    <w:link w:val="Style_9"/>
    <w:rPr>
      <w:rFonts w:ascii="XO Thames" w:hAnsi="XO Thames"/>
    </w:rPr>
  </w:style>
  <w:style w:styleId="Style_10" w:type="paragraph">
    <w:name w:val="heading 3"/>
    <w:next w:val="Style_2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Обычный1"/>
    <w:link w:val="Style_11_ch"/>
  </w:style>
  <w:style w:styleId="Style_11_ch" w:type="character">
    <w:name w:val="Обычный1"/>
    <w:link w:val="Style_11"/>
  </w:style>
  <w:style w:styleId="Style_12" w:type="paragraph">
    <w:name w:val="Balloon Text"/>
    <w:basedOn w:val="Style_2"/>
    <w:link w:val="Style_12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2_ch"/>
    <w:link w:val="Style_12"/>
    <w:rPr>
      <w:rFonts w:ascii="Tahoma" w:hAnsi="Tahoma"/>
      <w:sz w:val="16"/>
    </w:rPr>
  </w:style>
  <w:style w:styleId="Style_13" w:type="paragraph">
    <w:name w:val="toc 3"/>
    <w:next w:val="Style_2"/>
    <w:link w:val="Style_13_ch"/>
    <w:uiPriority w:val="39"/>
    <w:pPr>
      <w:widowControl w:val="1"/>
      <w:ind w:left="400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Гиперссылка2"/>
    <w:link w:val="Style_14_ch"/>
    <w:rPr>
      <w:color w:val="0000FF"/>
      <w:u w:val="single"/>
    </w:rPr>
  </w:style>
  <w:style w:styleId="Style_14_ch" w:type="character">
    <w:name w:val="Гиперссылка2"/>
    <w:link w:val="Style_14"/>
    <w:rPr>
      <w:color w:val="0000FF"/>
      <w:u w:val="single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heading 5"/>
    <w:next w:val="Style_2"/>
    <w:link w:val="Style_1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6_ch" w:type="character">
    <w:name w:val="heading 5"/>
    <w:link w:val="Style_16"/>
    <w:rPr>
      <w:rFonts w:ascii="XO Thames" w:hAnsi="XO Thames"/>
      <w:b w:val="1"/>
    </w:rPr>
  </w:style>
  <w:style w:styleId="Style_3" w:type="paragraph">
    <w:name w:val="List Paragraph"/>
    <w:basedOn w:val="Style_2"/>
    <w:link w:val="Style_3_ch"/>
    <w:pPr>
      <w:widowControl w:val="1"/>
      <w:ind w:left="720"/>
      <w:contextualSpacing w:val="1"/>
    </w:pPr>
  </w:style>
  <w:style w:styleId="Style_3_ch" w:type="character">
    <w:name w:val="List Paragraph"/>
    <w:basedOn w:val="Style_2_ch"/>
    <w:link w:val="Style_3"/>
  </w:style>
  <w:style w:styleId="Style_17" w:type="paragraph">
    <w:name w:val="heading 1"/>
    <w:next w:val="Style_2"/>
    <w:link w:val="Style_17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Обычный1"/>
    <w:link w:val="Style_18_ch"/>
  </w:style>
  <w:style w:styleId="Style_18_ch" w:type="character">
    <w:name w:val="Обычный1"/>
    <w:link w:val="Style_18"/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1"/>
      <w:ind w:firstLine="851"/>
      <w:jc w:val="both"/>
    </w:pPr>
    <w:rPr>
      <w:rFonts w:ascii="XO Thames" w:hAnsi="XO Thames"/>
    </w:rPr>
  </w:style>
  <w:style w:styleId="Style_20_ch" w:type="character">
    <w:name w:val="Footnote"/>
    <w:link w:val="Style_20"/>
    <w:rPr>
      <w:rFonts w:ascii="XO Thames" w:hAnsi="XO Thames"/>
    </w:rPr>
  </w:style>
  <w:style w:styleId="Style_21" w:type="paragraph">
    <w:name w:val="toc 1"/>
    <w:next w:val="Style_2"/>
    <w:link w:val="Style_21_ch"/>
    <w:uiPriority w:val="39"/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2"/>
    <w:link w:val="Style_23_ch"/>
    <w:uiPriority w:val="39"/>
    <w:pPr>
      <w:widowControl w:val="1"/>
      <w:ind w:left="1600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2"/>
    <w:link w:val="Style_24_ch"/>
    <w:uiPriority w:val="39"/>
    <w:pPr>
      <w:widowControl w:val="1"/>
      <w:ind w:left="1400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footer"/>
    <w:basedOn w:val="Style_2"/>
    <w:link w:val="Style_25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5_ch" w:type="character">
    <w:name w:val="footer"/>
    <w:basedOn w:val="Style_2_ch"/>
    <w:link w:val="Style_25"/>
  </w:style>
  <w:style w:styleId="Style_26" w:type="paragraph">
    <w:name w:val="toc 5"/>
    <w:next w:val="Style_2"/>
    <w:link w:val="Style_26_ch"/>
    <w:uiPriority w:val="39"/>
    <w:pPr>
      <w:widowControl w:val="1"/>
      <w:ind w:left="800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2"/>
    <w:link w:val="Style_2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Основной шрифт абзаца1"/>
    <w:link w:val="Style_28_ch"/>
  </w:style>
  <w:style w:styleId="Style_28_ch" w:type="character">
    <w:name w:val="Основной шрифт абзаца1"/>
    <w:link w:val="Style_28"/>
  </w:style>
  <w:style w:styleId="Style_29" w:type="paragraph">
    <w:name w:val="Title"/>
    <w:next w:val="Style_2"/>
    <w:link w:val="Style_2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2"/>
    <w:link w:val="Style_3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2"/>
    <w:link w:val="Style_3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32" w:type="paragraph">
    <w:name w:val="Основной шрифт абзаца1"/>
    <w:link w:val="Style_32_ch"/>
  </w:style>
  <w:style w:styleId="Style_32_ch" w:type="character">
    <w:name w:val="Основной шрифт абзаца1"/>
    <w:link w:val="Style_32"/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2026-02-13T09:03:12Z</dcterms:created>
  <dcterms:modified xsi:type="dcterms:W3CDTF">2026-03-23T13:26:08Z</dcterms:modified>
</cp:coreProperties>
</file>